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0B" w:rsidRDefault="00413160">
      <w:pPr>
        <w:jc w:val="center"/>
      </w:pPr>
      <w:bookmarkStart w:id="0" w:name="_GoBack"/>
      <w:bookmarkEnd w:id="0"/>
      <w:r>
        <w:rPr>
          <w:noProof/>
          <w:lang w:val="tr-TR"/>
        </w:rPr>
        <w:drawing>
          <wp:anchor distT="0" distB="0" distL="114300" distR="114300" simplePos="0" relativeHeight="251658240" behindDoc="0" locked="0" layoutInCell="1" hidden="0" allowOverlap="1">
            <wp:simplePos x="0" y="0"/>
            <wp:positionH relativeFrom="column">
              <wp:posOffset>2252980</wp:posOffset>
            </wp:positionH>
            <wp:positionV relativeFrom="paragraph">
              <wp:posOffset>-297814</wp:posOffset>
            </wp:positionV>
            <wp:extent cx="1339215" cy="1666240"/>
            <wp:effectExtent l="0" t="0" r="0" b="0"/>
            <wp:wrapNone/>
            <wp:docPr id="2" name="image1.jpg" descr="C:\Users\Тухтасин\AppData\Local\Microsoft\Windows\INetCache\Content.Word\Логотип Академии.jpg"/>
            <wp:cNvGraphicFramePr/>
            <a:graphic xmlns:a="http://schemas.openxmlformats.org/drawingml/2006/main">
              <a:graphicData uri="http://schemas.openxmlformats.org/drawingml/2006/picture">
                <pic:pic xmlns:pic="http://schemas.openxmlformats.org/drawingml/2006/picture">
                  <pic:nvPicPr>
                    <pic:cNvPr id="0" name="image1.jpg" descr="C:\Users\Тухтасин\AppData\Local\Microsoft\Windows\INetCache\Content.Word\Логотип Академии.jpg"/>
                    <pic:cNvPicPr preferRelativeResize="0"/>
                  </pic:nvPicPr>
                  <pic:blipFill>
                    <a:blip r:embed="rId5"/>
                    <a:srcRect/>
                    <a:stretch>
                      <a:fillRect/>
                    </a:stretch>
                  </pic:blipFill>
                  <pic:spPr>
                    <a:xfrm>
                      <a:off x="0" y="0"/>
                      <a:ext cx="1339215" cy="1666240"/>
                    </a:xfrm>
                    <a:prstGeom prst="rect">
                      <a:avLst/>
                    </a:prstGeom>
                    <a:ln/>
                  </pic:spPr>
                </pic:pic>
              </a:graphicData>
            </a:graphic>
          </wp:anchor>
        </w:drawing>
      </w:r>
    </w:p>
    <w:p w:rsidR="003B510B" w:rsidRDefault="003B510B">
      <w:pPr>
        <w:jc w:val="center"/>
      </w:pPr>
    </w:p>
    <w:p w:rsidR="003B510B" w:rsidRDefault="003B510B">
      <w:pPr>
        <w:jc w:val="center"/>
      </w:pPr>
    </w:p>
    <w:p w:rsidR="003B510B" w:rsidRDefault="003B510B">
      <w:pPr>
        <w:jc w:val="center"/>
      </w:pPr>
    </w:p>
    <w:p w:rsidR="003B510B" w:rsidRDefault="003B510B">
      <w:pPr>
        <w:jc w:val="center"/>
        <w:rPr>
          <w:rFonts w:ascii="Arial" w:eastAsia="Arial" w:hAnsi="Arial" w:cs="Arial"/>
          <w:b/>
          <w:color w:val="385623"/>
        </w:rPr>
      </w:pPr>
    </w:p>
    <w:p w:rsidR="003B510B" w:rsidRDefault="003B510B">
      <w:pPr>
        <w:jc w:val="center"/>
        <w:rPr>
          <w:rFonts w:ascii="Arial" w:eastAsia="Arial" w:hAnsi="Arial" w:cs="Arial"/>
          <w:b/>
          <w:color w:val="385623"/>
        </w:rPr>
      </w:pPr>
    </w:p>
    <w:p w:rsidR="003B510B" w:rsidRDefault="00413160">
      <w:pPr>
        <w:jc w:val="center"/>
        <w:rPr>
          <w:rFonts w:ascii="Arial" w:eastAsia="Arial" w:hAnsi="Arial" w:cs="Arial"/>
          <w:b/>
          <w:color w:val="385623"/>
        </w:rPr>
      </w:pPr>
      <w:r>
        <w:rPr>
          <w:rFonts w:ascii="Arial" w:eastAsia="Arial" w:hAnsi="Arial" w:cs="Arial"/>
          <w:b/>
          <w:color w:val="385623"/>
        </w:rPr>
        <w:t>ACADEMY OF ARTS OF UZBEKISTAN</w:t>
      </w:r>
    </w:p>
    <w:p w:rsidR="003B510B" w:rsidRDefault="003B510B">
      <w:pPr>
        <w:jc w:val="center"/>
        <w:rPr>
          <w:rFonts w:ascii="Arial" w:eastAsia="Arial" w:hAnsi="Arial" w:cs="Arial"/>
          <w:b/>
          <w:color w:val="385623"/>
        </w:rPr>
      </w:pPr>
    </w:p>
    <w:p w:rsidR="003B510B" w:rsidRDefault="003B510B">
      <w:pPr>
        <w:jc w:val="center"/>
        <w:rPr>
          <w:rFonts w:ascii="Arial" w:eastAsia="Arial" w:hAnsi="Arial" w:cs="Arial"/>
          <w:b/>
          <w:color w:val="385623"/>
        </w:rPr>
      </w:pPr>
    </w:p>
    <w:p w:rsidR="003B510B" w:rsidRDefault="00413160">
      <w:pPr>
        <w:jc w:val="center"/>
        <w:rPr>
          <w:rFonts w:ascii="Arial" w:eastAsia="Arial" w:hAnsi="Arial" w:cs="Arial"/>
          <w:b/>
          <w:color w:val="1F3864"/>
          <w:sz w:val="40"/>
          <w:szCs w:val="40"/>
        </w:rPr>
      </w:pPr>
      <w:r>
        <w:rPr>
          <w:rFonts w:ascii="Arial" w:eastAsia="Arial" w:hAnsi="Arial" w:cs="Arial"/>
          <w:b/>
          <w:color w:val="1F3864"/>
          <w:sz w:val="40"/>
          <w:szCs w:val="40"/>
        </w:rPr>
        <w:t>OPEN CALL</w:t>
      </w:r>
    </w:p>
    <w:p w:rsidR="003B510B" w:rsidRDefault="003B510B">
      <w:pPr>
        <w:jc w:val="center"/>
        <w:rPr>
          <w:rFonts w:ascii="Arial" w:eastAsia="Arial" w:hAnsi="Arial" w:cs="Arial"/>
          <w:b/>
          <w:color w:val="1F3864"/>
          <w:sz w:val="40"/>
          <w:szCs w:val="40"/>
        </w:rPr>
      </w:pPr>
    </w:p>
    <w:p w:rsidR="003B510B" w:rsidRDefault="00413160">
      <w:pPr>
        <w:jc w:val="center"/>
        <w:rPr>
          <w:rFonts w:ascii="Arial" w:eastAsia="Arial" w:hAnsi="Arial" w:cs="Arial"/>
          <w:color w:val="002060"/>
        </w:rPr>
      </w:pPr>
      <w:r>
        <w:rPr>
          <w:rFonts w:ascii="Arial" w:eastAsia="Arial" w:hAnsi="Arial" w:cs="Arial"/>
          <w:color w:val="002060"/>
        </w:rPr>
        <w:t>The Academy of Arts of Uzbekistan invites you to participate</w:t>
      </w:r>
    </w:p>
    <w:p w:rsidR="003B510B" w:rsidRDefault="00413160">
      <w:pPr>
        <w:jc w:val="center"/>
        <w:rPr>
          <w:rFonts w:ascii="Arial" w:eastAsia="Arial" w:hAnsi="Arial" w:cs="Arial"/>
          <w:b/>
          <w:color w:val="C00000"/>
          <w:sz w:val="36"/>
          <w:szCs w:val="36"/>
        </w:rPr>
      </w:pPr>
      <w:r>
        <w:rPr>
          <w:rFonts w:ascii="Arial" w:eastAsia="Arial" w:hAnsi="Arial" w:cs="Arial"/>
          <w:color w:val="002060"/>
        </w:rPr>
        <w:t>at the</w:t>
      </w:r>
      <w:r>
        <w:rPr>
          <w:rFonts w:ascii="Arial" w:eastAsia="Arial" w:hAnsi="Arial" w:cs="Arial"/>
          <w:b/>
          <w:color w:val="002060"/>
          <w:sz w:val="36"/>
          <w:szCs w:val="36"/>
        </w:rPr>
        <w:t xml:space="preserve"> </w:t>
      </w:r>
      <w:r>
        <w:rPr>
          <w:rFonts w:ascii="Arial" w:eastAsia="Arial" w:hAnsi="Arial" w:cs="Arial"/>
          <w:b/>
          <w:color w:val="C00000"/>
          <w:sz w:val="36"/>
          <w:szCs w:val="36"/>
        </w:rPr>
        <w:t xml:space="preserve">X Tashkent International Biennale </w:t>
      </w:r>
    </w:p>
    <w:p w:rsidR="003B510B" w:rsidRDefault="00413160">
      <w:pPr>
        <w:jc w:val="center"/>
        <w:rPr>
          <w:rFonts w:ascii="Arial" w:eastAsia="Arial" w:hAnsi="Arial" w:cs="Arial"/>
          <w:color w:val="002060"/>
        </w:rPr>
      </w:pPr>
      <w:r>
        <w:rPr>
          <w:rFonts w:ascii="Arial" w:eastAsia="Arial" w:hAnsi="Arial" w:cs="Arial"/>
          <w:b/>
          <w:color w:val="C00000"/>
          <w:sz w:val="36"/>
          <w:szCs w:val="36"/>
        </w:rPr>
        <w:t>of Contemporary Art</w:t>
      </w:r>
      <w:r>
        <w:rPr>
          <w:rFonts w:ascii="Arial" w:eastAsia="Arial" w:hAnsi="Arial" w:cs="Arial"/>
          <w:color w:val="002060"/>
        </w:rPr>
        <w:t>,</w:t>
      </w:r>
    </w:p>
    <w:p w:rsidR="003B510B" w:rsidRDefault="00413160">
      <w:pPr>
        <w:jc w:val="center"/>
        <w:rPr>
          <w:rFonts w:ascii="Arial" w:eastAsia="Arial" w:hAnsi="Arial" w:cs="Arial"/>
          <w:color w:val="002060"/>
        </w:rPr>
      </w:pPr>
      <w:r>
        <w:rPr>
          <w:rFonts w:ascii="Arial" w:eastAsia="Arial" w:hAnsi="Arial" w:cs="Arial"/>
          <w:color w:val="002060"/>
        </w:rPr>
        <w:t>which will be held from 14 to 18 October 2024 in the city of Tashkent (Uzbekistan). Can take part in the Biennale artists of various areas of contemporary art and present your work on the topic</w:t>
      </w:r>
    </w:p>
    <w:p w:rsidR="003B510B" w:rsidRDefault="00413160">
      <w:pPr>
        <w:jc w:val="center"/>
        <w:rPr>
          <w:rFonts w:ascii="Arial" w:eastAsia="Arial" w:hAnsi="Arial" w:cs="Arial"/>
          <w:color w:val="002060"/>
        </w:rPr>
      </w:pPr>
      <w:r>
        <w:rPr>
          <w:rFonts w:ascii="Arial" w:eastAsia="Arial" w:hAnsi="Arial" w:cs="Arial"/>
          <w:color w:val="002060"/>
        </w:rPr>
        <w:t>“Art and World”.</w:t>
      </w:r>
    </w:p>
    <w:p w:rsidR="003B510B" w:rsidRDefault="003B510B">
      <w:pPr>
        <w:jc w:val="center"/>
        <w:rPr>
          <w:rFonts w:ascii="Arial" w:eastAsia="Arial" w:hAnsi="Arial" w:cs="Arial"/>
          <w:color w:val="002060"/>
        </w:rPr>
      </w:pPr>
    </w:p>
    <w:p w:rsidR="003B510B" w:rsidRDefault="00413160">
      <w:pPr>
        <w:jc w:val="center"/>
        <w:rPr>
          <w:rFonts w:ascii="Arial" w:eastAsia="Arial" w:hAnsi="Arial" w:cs="Arial"/>
          <w:color w:val="002060"/>
        </w:rPr>
      </w:pPr>
      <w:r>
        <w:rPr>
          <w:rFonts w:ascii="Arial" w:eastAsia="Arial" w:hAnsi="Arial" w:cs="Arial"/>
          <w:color w:val="002060"/>
        </w:rPr>
        <w:t>In addition to the main exhibition, the bien</w:t>
      </w:r>
      <w:r>
        <w:rPr>
          <w:rFonts w:ascii="Arial" w:eastAsia="Arial" w:hAnsi="Arial" w:cs="Arial"/>
          <w:color w:val="002060"/>
        </w:rPr>
        <w:t>nale will host a number of artistic and cultural events, such as exhibitions, lectures and master classes, an international conference, and a tour of the cities of Uzbekistan.</w:t>
      </w:r>
    </w:p>
    <w:p w:rsidR="003B510B" w:rsidRDefault="003B510B">
      <w:pPr>
        <w:jc w:val="center"/>
        <w:rPr>
          <w:rFonts w:ascii="Arial" w:eastAsia="Arial" w:hAnsi="Arial" w:cs="Arial"/>
          <w:color w:val="002060"/>
        </w:rPr>
      </w:pPr>
    </w:p>
    <w:p w:rsidR="003B510B" w:rsidRDefault="003B510B">
      <w:pPr>
        <w:jc w:val="center"/>
        <w:rPr>
          <w:rFonts w:ascii="Arial" w:eastAsia="Arial" w:hAnsi="Arial" w:cs="Arial"/>
          <w:color w:val="002060"/>
        </w:rPr>
      </w:pPr>
    </w:p>
    <w:p w:rsidR="003B510B" w:rsidRDefault="00413160">
      <w:pPr>
        <w:jc w:val="center"/>
        <w:rPr>
          <w:rFonts w:ascii="Arial" w:eastAsia="Arial" w:hAnsi="Arial" w:cs="Arial"/>
          <w:color w:val="002060"/>
        </w:rPr>
      </w:pPr>
      <w:r>
        <w:rPr>
          <w:rFonts w:ascii="Arial" w:eastAsia="Arial" w:hAnsi="Arial" w:cs="Arial"/>
          <w:color w:val="002060"/>
        </w:rPr>
        <w:t>All expenses of foreign participants for their stay (meals, internal transport</w:t>
      </w:r>
      <w:r>
        <w:rPr>
          <w:rFonts w:ascii="Arial" w:eastAsia="Arial" w:hAnsi="Arial" w:cs="Arial"/>
          <w:color w:val="002060"/>
        </w:rPr>
        <w:t xml:space="preserve">ation, accommodation) in Tashkent, except for flights, </w:t>
      </w:r>
    </w:p>
    <w:p w:rsidR="003B510B" w:rsidRDefault="00413160">
      <w:pPr>
        <w:jc w:val="center"/>
        <w:rPr>
          <w:rFonts w:ascii="Arial" w:eastAsia="Arial" w:hAnsi="Arial" w:cs="Arial"/>
          <w:color w:val="002060"/>
        </w:rPr>
      </w:pPr>
      <w:r>
        <w:rPr>
          <w:rFonts w:ascii="Arial" w:eastAsia="Arial" w:hAnsi="Arial" w:cs="Arial"/>
          <w:color w:val="002060"/>
        </w:rPr>
        <w:t>will be covered by the Organizing Committee.</w:t>
      </w:r>
    </w:p>
    <w:p w:rsidR="003B510B" w:rsidRDefault="003B510B">
      <w:pPr>
        <w:jc w:val="center"/>
        <w:rPr>
          <w:rFonts w:ascii="Arial" w:eastAsia="Arial" w:hAnsi="Arial" w:cs="Arial"/>
          <w:color w:val="002060"/>
        </w:rPr>
      </w:pPr>
    </w:p>
    <w:p w:rsidR="003B510B" w:rsidRDefault="003B510B">
      <w:pPr>
        <w:jc w:val="center"/>
        <w:rPr>
          <w:rFonts w:ascii="Arial" w:eastAsia="Arial" w:hAnsi="Arial" w:cs="Arial"/>
          <w:color w:val="002060"/>
        </w:rPr>
      </w:pPr>
    </w:p>
    <w:p w:rsidR="003B510B" w:rsidRDefault="00413160">
      <w:pPr>
        <w:jc w:val="center"/>
        <w:rPr>
          <w:rFonts w:ascii="Arial" w:eastAsia="Arial" w:hAnsi="Arial" w:cs="Arial"/>
          <w:color w:val="002060"/>
        </w:rPr>
      </w:pPr>
      <w:r>
        <w:rPr>
          <w:rFonts w:ascii="Arial" w:eastAsia="Arial" w:hAnsi="Arial" w:cs="Arial"/>
          <w:color w:val="002060"/>
        </w:rPr>
        <w:t>Applications for participation in the Biennale are accepted until August 15, 2024 via Google form:</w:t>
      </w:r>
    </w:p>
    <w:bookmarkStart w:id="1" w:name="_heading=h.jpu4s4lha7pt" w:colFirst="0" w:colLast="0"/>
    <w:bookmarkEnd w:id="1"/>
    <w:p w:rsidR="003B510B" w:rsidRDefault="00413160">
      <w:pPr>
        <w:jc w:val="center"/>
        <w:rPr>
          <w:rFonts w:ascii="Arial" w:eastAsia="Arial" w:hAnsi="Arial" w:cs="Arial"/>
          <w:color w:val="002060"/>
        </w:rPr>
      </w:pPr>
      <w:r>
        <w:fldChar w:fldCharType="begin"/>
      </w:r>
      <w:r>
        <w:instrText xml:space="preserve"> HYPERLINK "https://forms.gle/aUEMyfrsyQUsrp7b7" \h </w:instrText>
      </w:r>
      <w:r>
        <w:fldChar w:fldCharType="separate"/>
      </w:r>
      <w:r>
        <w:rPr>
          <w:rFonts w:ascii="Arial" w:eastAsia="Arial" w:hAnsi="Arial" w:cs="Arial"/>
          <w:color w:val="1155CC"/>
          <w:u w:val="single"/>
        </w:rPr>
        <w:t>https://forms.gle/aUEMyfrsyQUsrp7b7</w:t>
      </w:r>
      <w:r>
        <w:rPr>
          <w:rFonts w:ascii="Arial" w:eastAsia="Arial" w:hAnsi="Arial" w:cs="Arial"/>
          <w:color w:val="1155CC"/>
          <w:u w:val="single"/>
        </w:rPr>
        <w:fldChar w:fldCharType="end"/>
      </w:r>
    </w:p>
    <w:p w:rsidR="003B510B" w:rsidRDefault="00413160">
      <w:pPr>
        <w:jc w:val="center"/>
        <w:rPr>
          <w:rFonts w:ascii="Arial" w:eastAsia="Arial" w:hAnsi="Arial" w:cs="Arial"/>
          <w:color w:val="002060"/>
        </w:rPr>
      </w:pPr>
      <w:r>
        <w:rPr>
          <w:rFonts w:ascii="Arial" w:eastAsia="Arial" w:hAnsi="Arial" w:cs="Arial"/>
          <w:color w:val="002060"/>
        </w:rPr>
        <w:t xml:space="preserve"> </w:t>
      </w:r>
    </w:p>
    <w:p w:rsidR="003B510B" w:rsidRDefault="00413160">
      <w:pPr>
        <w:jc w:val="center"/>
        <w:rPr>
          <w:rFonts w:ascii="Arial" w:eastAsia="Arial" w:hAnsi="Arial" w:cs="Arial"/>
          <w:color w:val="002060"/>
        </w:rPr>
      </w:pPr>
      <w:r>
        <w:rPr>
          <w:rFonts w:ascii="Arial" w:eastAsia="Arial" w:hAnsi="Arial" w:cs="Arial"/>
          <w:color w:val="002060"/>
        </w:rPr>
        <w:t>(detailed information is given in the attachment to this letter)</w:t>
      </w:r>
    </w:p>
    <w:p w:rsidR="003B510B" w:rsidRDefault="003B510B">
      <w:pPr>
        <w:rPr>
          <w:rFonts w:ascii="Arial" w:eastAsia="Arial" w:hAnsi="Arial" w:cs="Arial"/>
          <w:i/>
          <w:color w:val="002060"/>
          <w:sz w:val="24"/>
          <w:szCs w:val="24"/>
        </w:rPr>
      </w:pPr>
    </w:p>
    <w:p w:rsidR="003B510B" w:rsidRDefault="00413160">
      <w:pPr>
        <w:rPr>
          <w:rFonts w:ascii="Arial" w:eastAsia="Arial" w:hAnsi="Arial" w:cs="Arial"/>
          <w:i/>
          <w:color w:val="002060"/>
          <w:sz w:val="24"/>
          <w:szCs w:val="24"/>
        </w:rPr>
      </w:pPr>
      <w:r>
        <w:rPr>
          <w:rFonts w:ascii="Arial" w:eastAsia="Arial" w:hAnsi="Arial" w:cs="Arial"/>
          <w:i/>
          <w:color w:val="002060"/>
          <w:sz w:val="24"/>
          <w:szCs w:val="24"/>
        </w:rPr>
        <w:t>*Organizers have the right to make changes to the event program</w:t>
      </w:r>
    </w:p>
    <w:sectPr w:rsidR="003B510B">
      <w:pgSz w:w="11906" w:h="16838"/>
      <w:pgMar w:top="1701" w:right="850" w:bottom="1134" w:left="170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0B"/>
    <w:rsid w:val="003B510B"/>
    <w:rsid w:val="00413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7EA68-B3B1-4261-85EC-D5792419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8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styleId="Kpr">
    <w:name w:val="Hyperlink"/>
    <w:basedOn w:val="VarsaylanParagrafYazTipi"/>
    <w:uiPriority w:val="99"/>
    <w:unhideWhenUsed/>
    <w:rsid w:val="00E56A8B"/>
    <w:rPr>
      <w:color w:val="0563C1"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fD0nE+IkXVl6hA+u3HvPsmelw==">CgMxLjAyDmguanB1NHM0bGhhN3B0OAByITFDc2RtZGtSOXBQaVJxR1NSdUhLQy1oYUZPSHlreWt1TA==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Тухтасин</dc:creator>
  <cp:lastModifiedBy>User</cp:lastModifiedBy>
  <cp:revision>2</cp:revision>
  <dcterms:created xsi:type="dcterms:W3CDTF">2024-07-23T06:22:00Z</dcterms:created>
  <dcterms:modified xsi:type="dcterms:W3CDTF">2024-07-23T06:22:00Z</dcterms:modified>
</cp:coreProperties>
</file>